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8F2" w:rsidRDefault="006318F2">
      <w:pPr>
        <w:pStyle w:val="BodyText"/>
        <w:rPr>
          <w:sz w:val="20"/>
        </w:rPr>
      </w:pPr>
      <w:bookmarkStart w:id="0" w:name="_GoBack"/>
      <w:bookmarkEnd w:id="0"/>
    </w:p>
    <w:p w:rsidR="006318F2" w:rsidRDefault="00BB7025">
      <w:pPr>
        <w:pStyle w:val="Heading1"/>
        <w:spacing w:before="232"/>
        <w:ind w:left="2690"/>
      </w:pPr>
      <w:r>
        <w:t>Minutes from Meeting, January 22, 2018</w:t>
      </w:r>
    </w:p>
    <w:p w:rsidR="006318F2" w:rsidRDefault="00BB7025">
      <w:pPr>
        <w:spacing w:before="174"/>
        <w:ind w:left="1984"/>
        <w:rPr>
          <w:sz w:val="20"/>
        </w:rPr>
      </w:pPr>
      <w:r>
        <w:rPr>
          <w:sz w:val="20"/>
        </w:rPr>
        <w:t>*Notes taken by Paul Erwin, Professor and Dept. Head, Public Health</w:t>
      </w:r>
    </w:p>
    <w:p w:rsidR="006318F2" w:rsidRDefault="00BB7025">
      <w:pPr>
        <w:pStyle w:val="Heading1"/>
        <w:spacing w:before="186"/>
      </w:pPr>
      <w:r>
        <w:t>Faculty Mentor Council (FMC) members present:</w:t>
      </w:r>
    </w:p>
    <w:p w:rsidR="006318F2" w:rsidRDefault="00BB7025">
      <w:pPr>
        <w:pStyle w:val="BodyText"/>
        <w:spacing w:before="176" w:line="398" w:lineRule="auto"/>
        <w:ind w:left="100" w:right="7419"/>
      </w:pPr>
      <w:r>
        <w:t>Steven Waller,</w:t>
      </w:r>
      <w:r>
        <w:rPr>
          <w:spacing w:val="-4"/>
        </w:rPr>
        <w:t xml:space="preserve"> </w:t>
      </w:r>
      <w:r>
        <w:t>Chair Pam Angelle Guoxun Chen</w:t>
      </w:r>
    </w:p>
    <w:p w:rsidR="006318F2" w:rsidRDefault="00BB7025">
      <w:pPr>
        <w:pStyle w:val="BodyText"/>
        <w:spacing w:before="1"/>
        <w:ind w:left="100"/>
      </w:pPr>
      <w:r>
        <w:t>Paul Erwin</w:t>
      </w:r>
    </w:p>
    <w:p w:rsidR="006318F2" w:rsidRDefault="00BB7025">
      <w:pPr>
        <w:pStyle w:val="BodyText"/>
        <w:spacing w:before="180" w:line="398" w:lineRule="auto"/>
        <w:ind w:left="100" w:right="7666"/>
      </w:pPr>
      <w:r>
        <w:t>Youn-Kyung Kim Chris Skinner Delores Smith</w:t>
      </w:r>
    </w:p>
    <w:p w:rsidR="006318F2" w:rsidRDefault="006318F2">
      <w:pPr>
        <w:pStyle w:val="BodyText"/>
        <w:spacing w:before="8"/>
        <w:rPr>
          <w:sz w:val="23"/>
        </w:rPr>
      </w:pPr>
    </w:p>
    <w:p w:rsidR="006318F2" w:rsidRDefault="00BB7025">
      <w:pPr>
        <w:pStyle w:val="Heading1"/>
      </w:pPr>
      <w:r>
        <w:t>Faculty Member Council members absent:</w:t>
      </w:r>
    </w:p>
    <w:p w:rsidR="006318F2" w:rsidRDefault="00BB7025">
      <w:pPr>
        <w:pStyle w:val="BodyText"/>
        <w:spacing w:before="177"/>
        <w:ind w:left="100"/>
      </w:pPr>
      <w:r>
        <w:t>JoAnn Cady</w:t>
      </w:r>
    </w:p>
    <w:p w:rsidR="006318F2" w:rsidRDefault="006318F2">
      <w:pPr>
        <w:pStyle w:val="BodyText"/>
        <w:rPr>
          <w:sz w:val="26"/>
        </w:rPr>
      </w:pPr>
    </w:p>
    <w:p w:rsidR="006318F2" w:rsidRDefault="00BB7025">
      <w:pPr>
        <w:pStyle w:val="Heading1"/>
        <w:spacing w:before="158"/>
      </w:pPr>
      <w:r>
        <w:t>Visitors:</w:t>
      </w:r>
    </w:p>
    <w:p w:rsidR="006318F2" w:rsidRDefault="00BB7025">
      <w:pPr>
        <w:pStyle w:val="BodyText"/>
        <w:spacing w:before="177"/>
        <w:ind w:left="100"/>
      </w:pPr>
      <w:r>
        <w:t>Elizabeth Johnson, President, CEHHS Faculty Senate</w:t>
      </w:r>
    </w:p>
    <w:p w:rsidR="006318F2" w:rsidRDefault="00BB7025">
      <w:pPr>
        <w:pStyle w:val="ListParagraph"/>
        <w:numPr>
          <w:ilvl w:val="0"/>
          <w:numId w:val="1"/>
        </w:numPr>
        <w:tabs>
          <w:tab w:val="left" w:pos="821"/>
        </w:tabs>
        <w:spacing w:before="180" w:line="259" w:lineRule="auto"/>
        <w:rPr>
          <w:sz w:val="24"/>
        </w:rPr>
      </w:pPr>
      <w:r>
        <w:rPr>
          <w:sz w:val="24"/>
        </w:rPr>
        <w:t>The initial discussion was led by Elizabeth Johnson, relaying concerns expressed in the faculty Senate, on the large service load that faculty o</w:t>
      </w:r>
      <w:r>
        <w:rPr>
          <w:sz w:val="24"/>
        </w:rPr>
        <w:t>f color carry. In an effort to ensure minority faculty representation on committees (regular and ad hoc), the relatively small number of faculty of color often carry a larger than average service assignment. Add to this the “invisible” labor, e.g., of advi</w:t>
      </w:r>
      <w:r>
        <w:rPr>
          <w:sz w:val="24"/>
        </w:rPr>
        <w:t>sing and guiding students of color, and it is clear that service saturation for faculty of color is a challenge. Among other comments,</w:t>
      </w:r>
      <w:r>
        <w:rPr>
          <w:spacing w:val="-15"/>
          <w:sz w:val="24"/>
        </w:rPr>
        <w:t xml:space="preserve"> </w:t>
      </w:r>
      <w:r>
        <w:rPr>
          <w:sz w:val="24"/>
        </w:rPr>
        <w:t>council members noted</w:t>
      </w:r>
      <w:r>
        <w:rPr>
          <w:spacing w:val="-1"/>
          <w:sz w:val="24"/>
        </w:rPr>
        <w:t xml:space="preserve"> </w:t>
      </w:r>
      <w:r>
        <w:rPr>
          <w:sz w:val="24"/>
        </w:rPr>
        <w:t>that:</w:t>
      </w:r>
    </w:p>
    <w:p w:rsidR="006318F2" w:rsidRDefault="00BB7025">
      <w:pPr>
        <w:pStyle w:val="ListParagraph"/>
        <w:numPr>
          <w:ilvl w:val="1"/>
          <w:numId w:val="1"/>
        </w:numPr>
        <w:tabs>
          <w:tab w:val="left" w:pos="1271"/>
          <w:tab w:val="left" w:pos="1272"/>
        </w:tabs>
        <w:spacing w:line="256" w:lineRule="auto"/>
        <w:ind w:right="400" w:hanging="451"/>
        <w:rPr>
          <w:sz w:val="24"/>
        </w:rPr>
      </w:pPr>
      <w:r>
        <w:rPr>
          <w:sz w:val="24"/>
        </w:rPr>
        <w:t xml:space="preserve">Service </w:t>
      </w:r>
      <w:r>
        <w:rPr>
          <w:sz w:val="24"/>
          <w:u w:val="single"/>
        </w:rPr>
        <w:t>must</w:t>
      </w:r>
      <w:r>
        <w:rPr>
          <w:sz w:val="24"/>
        </w:rPr>
        <w:t xml:space="preserve"> matter for tenure and promotion, and it should be documented in the CV;</w:t>
      </w:r>
    </w:p>
    <w:p w:rsidR="006318F2" w:rsidRDefault="00BB7025">
      <w:pPr>
        <w:pStyle w:val="ListParagraph"/>
        <w:numPr>
          <w:ilvl w:val="1"/>
          <w:numId w:val="1"/>
        </w:numPr>
        <w:tabs>
          <w:tab w:val="left" w:pos="1271"/>
          <w:tab w:val="left" w:pos="1272"/>
        </w:tabs>
        <w:spacing w:before="2" w:line="259" w:lineRule="auto"/>
        <w:ind w:right="164" w:hanging="451"/>
        <w:rPr>
          <w:sz w:val="24"/>
        </w:rPr>
      </w:pPr>
      <w:r>
        <w:rPr>
          <w:sz w:val="24"/>
        </w:rPr>
        <w:t>Department Heads can be supportive by ensuring that there is a balance of service obligations and activities across the three domains of service to the university, to</w:t>
      </w:r>
      <w:r>
        <w:rPr>
          <w:spacing w:val="-14"/>
          <w:sz w:val="24"/>
        </w:rPr>
        <w:t xml:space="preserve"> </w:t>
      </w:r>
      <w:r>
        <w:rPr>
          <w:sz w:val="24"/>
        </w:rPr>
        <w:t>the profession, and to the</w:t>
      </w:r>
      <w:r>
        <w:rPr>
          <w:spacing w:val="-2"/>
          <w:sz w:val="24"/>
        </w:rPr>
        <w:t xml:space="preserve"> </w:t>
      </w:r>
      <w:r>
        <w:rPr>
          <w:sz w:val="24"/>
        </w:rPr>
        <w:t>community;</w:t>
      </w:r>
    </w:p>
    <w:p w:rsidR="006318F2" w:rsidRDefault="00BB7025">
      <w:pPr>
        <w:pStyle w:val="ListParagraph"/>
        <w:numPr>
          <w:ilvl w:val="1"/>
          <w:numId w:val="1"/>
        </w:numPr>
        <w:tabs>
          <w:tab w:val="left" w:pos="1271"/>
          <w:tab w:val="left" w:pos="1272"/>
        </w:tabs>
        <w:spacing w:line="256" w:lineRule="auto"/>
        <w:ind w:right="765" w:hanging="451"/>
        <w:rPr>
          <w:sz w:val="24"/>
        </w:rPr>
      </w:pPr>
      <w:r>
        <w:rPr>
          <w:sz w:val="24"/>
        </w:rPr>
        <w:t>And, two larger issues are at play: i) trust betwee</w:t>
      </w:r>
      <w:r>
        <w:rPr>
          <w:sz w:val="24"/>
        </w:rPr>
        <w:t>n and among all students and faculty, and ii) this whole discussion would be moot if the College was more successful at recruiting and retaining more faculty of</w:t>
      </w:r>
      <w:r>
        <w:rPr>
          <w:spacing w:val="-10"/>
          <w:sz w:val="24"/>
        </w:rPr>
        <w:t xml:space="preserve"> </w:t>
      </w:r>
      <w:r>
        <w:rPr>
          <w:sz w:val="24"/>
        </w:rPr>
        <w:t>color.</w:t>
      </w:r>
    </w:p>
    <w:p w:rsidR="006318F2" w:rsidRDefault="006318F2">
      <w:pPr>
        <w:spacing w:line="256" w:lineRule="auto"/>
        <w:rPr>
          <w:sz w:val="24"/>
        </w:rPr>
        <w:sectPr w:rsidR="006318F2">
          <w:headerReference w:type="default" r:id="rId7"/>
          <w:footerReference w:type="default" r:id="rId8"/>
          <w:type w:val="continuous"/>
          <w:pgSz w:w="12240" w:h="15840"/>
          <w:pgMar w:top="2200" w:right="1360" w:bottom="1240" w:left="1340" w:header="720" w:footer="1058" w:gutter="0"/>
          <w:pgNumType w:start="1"/>
          <w:cols w:space="720"/>
        </w:sectPr>
      </w:pPr>
    </w:p>
    <w:p w:rsidR="006318F2" w:rsidRDefault="006318F2">
      <w:pPr>
        <w:pStyle w:val="BodyText"/>
        <w:spacing w:before="11"/>
        <w:rPr>
          <w:sz w:val="17"/>
        </w:rPr>
      </w:pPr>
    </w:p>
    <w:p w:rsidR="006318F2" w:rsidRDefault="00BB7025">
      <w:pPr>
        <w:pStyle w:val="BodyText"/>
        <w:spacing w:before="90" w:line="259" w:lineRule="auto"/>
        <w:ind w:left="820" w:right="243"/>
      </w:pPr>
      <w:r>
        <w:t>Elizabeth suggested that the Faculty Senate can explore identifying and bringing to campus a person external to UTK, whose research/scholarly expertise is on mentoring, with a particular focus on the service load on faculty from under-represented minoritie</w:t>
      </w:r>
      <w:r>
        <w:t>s.</w:t>
      </w:r>
    </w:p>
    <w:p w:rsidR="006318F2" w:rsidRDefault="006318F2">
      <w:pPr>
        <w:pStyle w:val="BodyText"/>
        <w:spacing w:before="9"/>
        <w:rPr>
          <w:sz w:val="25"/>
        </w:rPr>
      </w:pPr>
    </w:p>
    <w:p w:rsidR="006318F2" w:rsidRDefault="00BB7025">
      <w:pPr>
        <w:pStyle w:val="ListParagraph"/>
        <w:numPr>
          <w:ilvl w:val="0"/>
          <w:numId w:val="1"/>
        </w:numPr>
        <w:tabs>
          <w:tab w:val="left" w:pos="821"/>
        </w:tabs>
        <w:spacing w:line="259" w:lineRule="auto"/>
        <w:ind w:right="126"/>
        <w:rPr>
          <w:sz w:val="24"/>
        </w:rPr>
      </w:pPr>
      <w:r>
        <w:rPr>
          <w:sz w:val="24"/>
        </w:rPr>
        <w:t>For the upcoming wine and cheese reception, March 7th, 3:00-4:30 pm, council members are expected to be present, representing our departments. Steve will meet with Jeff Fairbrother ahead of time to get his expectations on specific activities, e.g., sma</w:t>
      </w:r>
      <w:r>
        <w:rPr>
          <w:sz w:val="24"/>
        </w:rPr>
        <w:t>ll group work, panel presentation,</w:t>
      </w:r>
      <w:r>
        <w:rPr>
          <w:sz w:val="24"/>
        </w:rPr>
        <w:t xml:space="preserve"> </w:t>
      </w:r>
      <w:r>
        <w:rPr>
          <w:sz w:val="24"/>
        </w:rPr>
        <w:t>etc.</w:t>
      </w:r>
    </w:p>
    <w:p w:rsidR="006318F2" w:rsidRDefault="006318F2">
      <w:pPr>
        <w:pStyle w:val="BodyText"/>
        <w:spacing w:before="11"/>
        <w:rPr>
          <w:sz w:val="25"/>
        </w:rPr>
      </w:pPr>
    </w:p>
    <w:p w:rsidR="006318F2" w:rsidRDefault="00BB7025">
      <w:pPr>
        <w:pStyle w:val="ListParagraph"/>
        <w:numPr>
          <w:ilvl w:val="0"/>
          <w:numId w:val="1"/>
        </w:numPr>
        <w:tabs>
          <w:tab w:val="left" w:pos="821"/>
        </w:tabs>
        <w:spacing w:line="259" w:lineRule="auto"/>
        <w:ind w:right="170"/>
        <w:rPr>
          <w:sz w:val="24"/>
        </w:rPr>
      </w:pPr>
      <w:r>
        <w:rPr>
          <w:sz w:val="24"/>
        </w:rPr>
        <w:t>Purpose of the FMC: A scan of the previous FMC files did not reveal a clear purpose, goals, or outcomes. There is no mention of the FMC on the CEHHS website, and there</w:t>
      </w:r>
      <w:r>
        <w:rPr>
          <w:spacing w:val="-15"/>
          <w:sz w:val="24"/>
        </w:rPr>
        <w:t xml:space="preserve"> </w:t>
      </w:r>
      <w:r>
        <w:rPr>
          <w:sz w:val="24"/>
        </w:rPr>
        <w:t xml:space="preserve">is uncertainty about the initial establishment </w:t>
      </w:r>
      <w:r>
        <w:rPr>
          <w:sz w:val="24"/>
        </w:rPr>
        <w:t>and charge given to the FMC, although it appears that the FMC was initiated directly by Dean Rider. It is not clear whether other Colleges at UTK have a similar council or whether our peer and aspirational institutions have something</w:t>
      </w:r>
      <w:r>
        <w:rPr>
          <w:spacing w:val="-5"/>
          <w:sz w:val="24"/>
        </w:rPr>
        <w:t xml:space="preserve"> </w:t>
      </w:r>
      <w:r>
        <w:rPr>
          <w:sz w:val="24"/>
        </w:rPr>
        <w:t>similar.</w:t>
      </w:r>
    </w:p>
    <w:p w:rsidR="006318F2" w:rsidRDefault="006318F2">
      <w:pPr>
        <w:pStyle w:val="BodyText"/>
        <w:spacing w:before="10"/>
        <w:rPr>
          <w:sz w:val="25"/>
        </w:rPr>
      </w:pPr>
    </w:p>
    <w:p w:rsidR="006318F2" w:rsidRDefault="00BB7025">
      <w:pPr>
        <w:pStyle w:val="BodyText"/>
        <w:spacing w:line="259" w:lineRule="auto"/>
        <w:ind w:left="820"/>
      </w:pPr>
      <w:r>
        <w:t>Following an</w:t>
      </w:r>
      <w:r>
        <w:t xml:space="preserve"> open discussion on the purpose of the FMC, considering who we serve and how we serve, the following was suggested as a starting point:</w:t>
      </w:r>
    </w:p>
    <w:p w:rsidR="006318F2" w:rsidRDefault="006318F2">
      <w:pPr>
        <w:pStyle w:val="BodyText"/>
        <w:spacing w:before="9"/>
        <w:rPr>
          <w:sz w:val="25"/>
        </w:rPr>
      </w:pPr>
    </w:p>
    <w:p w:rsidR="006318F2" w:rsidRDefault="00BB7025">
      <w:pPr>
        <w:spacing w:line="259" w:lineRule="auto"/>
        <w:ind w:left="820" w:right="234"/>
        <w:rPr>
          <w:i/>
          <w:sz w:val="24"/>
        </w:rPr>
      </w:pPr>
      <w:r>
        <w:rPr>
          <w:i/>
          <w:sz w:val="24"/>
        </w:rPr>
        <w:t>The purpose of the FMC is to provide overarching support, guidance, and opportunities to the College in general, and me</w:t>
      </w:r>
      <w:r>
        <w:rPr>
          <w:i/>
          <w:sz w:val="24"/>
        </w:rPr>
        <w:t>ntors/mentees specifically, to facilitate professional development within the university that includes a focus on, but is not limited to, the tenure and promotion process.</w:t>
      </w:r>
    </w:p>
    <w:p w:rsidR="006318F2" w:rsidRDefault="006318F2">
      <w:pPr>
        <w:pStyle w:val="BodyText"/>
        <w:spacing w:before="9"/>
        <w:rPr>
          <w:i/>
          <w:sz w:val="25"/>
        </w:rPr>
      </w:pPr>
    </w:p>
    <w:p w:rsidR="006318F2" w:rsidRDefault="00BB7025">
      <w:pPr>
        <w:pStyle w:val="BodyText"/>
        <w:spacing w:line="259" w:lineRule="auto"/>
        <w:ind w:left="820"/>
      </w:pPr>
      <w:r>
        <w:t>Council members agreed to take this draft statement of purpose, wordsmith it, massa</w:t>
      </w:r>
      <w:r>
        <w:t>ge it, and return comments to Steve.</w:t>
      </w:r>
    </w:p>
    <w:p w:rsidR="006318F2" w:rsidRDefault="006318F2">
      <w:pPr>
        <w:pStyle w:val="BodyText"/>
        <w:rPr>
          <w:sz w:val="26"/>
        </w:rPr>
      </w:pPr>
    </w:p>
    <w:p w:rsidR="006318F2" w:rsidRDefault="00BB7025">
      <w:pPr>
        <w:pStyle w:val="BodyText"/>
        <w:spacing w:line="259" w:lineRule="auto"/>
        <w:ind w:left="820" w:right="122"/>
      </w:pPr>
      <w:r>
        <w:t>Steve will inquire about the presence of a similar council in other Colleges within UTK. Council members agreed to search peer institutions and/or institutions with which they are familiar to identify any similar body/</w:t>
      </w:r>
      <w:r>
        <w:t>organization. Council members also raised the possibility of conducting a needs assessment of mentors and mentees.</w:t>
      </w:r>
    </w:p>
    <w:p w:rsidR="006318F2" w:rsidRDefault="006318F2">
      <w:pPr>
        <w:pStyle w:val="BodyText"/>
        <w:spacing w:before="9"/>
        <w:rPr>
          <w:sz w:val="25"/>
        </w:rPr>
      </w:pPr>
    </w:p>
    <w:p w:rsidR="006318F2" w:rsidRDefault="00BB7025">
      <w:pPr>
        <w:pStyle w:val="BodyText"/>
        <w:spacing w:line="259" w:lineRule="auto"/>
        <w:ind w:left="820" w:right="242"/>
      </w:pPr>
      <w:r>
        <w:t>The Council members agreed that a minimum of 2 meetings/semester (in addition to the fall and spring college-wide meetings) will be necessar</w:t>
      </w:r>
      <w:r>
        <w:t>y to move our work forward.</w:t>
      </w:r>
    </w:p>
    <w:p w:rsidR="006318F2" w:rsidRDefault="00BB7025">
      <w:pPr>
        <w:pStyle w:val="BodyText"/>
        <w:spacing w:line="259" w:lineRule="auto"/>
        <w:ind w:left="820" w:right="242"/>
      </w:pPr>
      <w:r>
        <w:t>Some members may also be asked to attend other meetings to allow the council to make more informed decisions (e.g., Commission on Blacks, Faculty Senate, etc.). Finally, council members agreed that a set of operational guideline</w:t>
      </w:r>
      <w:r>
        <w:t>s is needed to provide parameters for such topics as member appointments.</w:t>
      </w:r>
    </w:p>
    <w:sectPr w:rsidR="006318F2">
      <w:pgSz w:w="12240" w:h="15840"/>
      <w:pgMar w:top="2200" w:right="1360" w:bottom="1240" w:left="1340" w:header="720" w:footer="10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025" w:rsidRDefault="00BB7025">
      <w:r>
        <w:separator/>
      </w:r>
    </w:p>
  </w:endnote>
  <w:endnote w:type="continuationSeparator" w:id="0">
    <w:p w:rsidR="00BB7025" w:rsidRDefault="00BB7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2" w:rsidRDefault="00BB702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01.05pt;margin-top:728.1pt;width:10pt;height:15.3pt;z-index:-2896;mso-position-horizontal-relative:page;mso-position-vertical-relative:page" filled="f" stroked="f">
          <v:textbox inset="0,0,0,0">
            <w:txbxContent>
              <w:p w:rsidR="006318F2" w:rsidRDefault="00BB7025">
                <w:pPr>
                  <w:pStyle w:val="BodyText"/>
                  <w:spacing w:before="10"/>
                  <w:ind w:left="40"/>
                </w:pPr>
                <w:r>
                  <w:fldChar w:fldCharType="begin"/>
                </w:r>
                <w:r>
                  <w:instrText xml:space="preserve"> PAGE </w:instrText>
                </w:r>
                <w:r>
                  <w:fldChar w:fldCharType="separate"/>
                </w:r>
                <w:r w:rsidR="00375857">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025" w:rsidRDefault="00BB7025">
      <w:r>
        <w:separator/>
      </w:r>
    </w:p>
  </w:footnote>
  <w:footnote w:type="continuationSeparator" w:id="0">
    <w:p w:rsidR="00BB7025" w:rsidRDefault="00BB7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8F2" w:rsidRDefault="00BB7025">
    <w:pPr>
      <w:pStyle w:val="BodyText"/>
      <w:spacing w:line="14" w:lineRule="auto"/>
      <w:rPr>
        <w:sz w:val="20"/>
      </w:rPr>
    </w:pPr>
    <w:r>
      <w:rPr>
        <w:noProof/>
        <w:lang w:bidi="ar-SA"/>
      </w:rPr>
      <w:drawing>
        <wp:anchor distT="0" distB="0" distL="0" distR="0" simplePos="0" relativeHeight="268432511" behindDoc="1" locked="0" layoutInCell="1" allowOverlap="1">
          <wp:simplePos x="0" y="0"/>
          <wp:positionH relativeFrom="page">
            <wp:posOffset>3511550</wp:posOffset>
          </wp:positionH>
          <wp:positionV relativeFrom="page">
            <wp:posOffset>457200</wp:posOffset>
          </wp:positionV>
          <wp:extent cx="749300" cy="7493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49300" cy="749300"/>
                  </a:xfrm>
                  <a:prstGeom prst="rect">
                    <a:avLst/>
                  </a:prstGeom>
                </pic:spPr>
              </pic:pic>
            </a:graphicData>
          </a:graphic>
        </wp:anchor>
      </w:drawing>
    </w:r>
    <w:r>
      <w:pict>
        <v:shapetype id="_x0000_t202" coordsize="21600,21600" o:spt="202" path="m,l,21600r21600,l21600,xe">
          <v:stroke joinstyle="miter"/>
          <v:path gradientshapeok="t" o:connecttype="rect"/>
        </v:shapetype>
        <v:shape id="_x0000_s2050" type="#_x0000_t202" style="position:absolute;margin-left:254.9pt;margin-top:96.7pt;width:102.2pt;height:15pt;z-index:-2920;mso-position-horizontal-relative:page;mso-position-vertical-relative:page" filled="f" stroked="f">
          <v:textbox inset="0,0,0,0">
            <w:txbxContent>
              <w:p w:rsidR="006318F2" w:rsidRDefault="00BB7025">
                <w:pPr>
                  <w:spacing w:line="284" w:lineRule="exact"/>
                  <w:ind w:left="20"/>
                  <w:rPr>
                    <w:rFonts w:ascii="Calibri"/>
                    <w:b/>
                    <w:sz w:val="26"/>
                  </w:rPr>
                </w:pPr>
                <w:r>
                  <w:rPr>
                    <w:rFonts w:ascii="Calibri"/>
                    <w:b/>
                    <w:color w:val="EC7C30"/>
                    <w:sz w:val="26"/>
                  </w:rPr>
                  <w:t>MENTOR COUNCI</w:t>
                </w:r>
                <w:r>
                  <w:rPr>
                    <w:rFonts w:ascii="Calibri"/>
                    <w:b/>
                    <w:color w:val="EC7C30"/>
                    <w:sz w:val="26"/>
                  </w:rPr>
                  <w:t>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863B5"/>
    <w:multiLevelType w:val="hybridMultilevel"/>
    <w:tmpl w:val="B940489C"/>
    <w:lvl w:ilvl="0" w:tplc="D588434E">
      <w:start w:val="1"/>
      <w:numFmt w:val="decimal"/>
      <w:lvlText w:val="%1."/>
      <w:lvlJc w:val="left"/>
      <w:pPr>
        <w:ind w:left="820" w:hanging="360"/>
        <w:jc w:val="left"/>
      </w:pPr>
      <w:rPr>
        <w:rFonts w:ascii="Times New Roman" w:eastAsia="Times New Roman" w:hAnsi="Times New Roman" w:cs="Times New Roman" w:hint="default"/>
        <w:spacing w:val="-6"/>
        <w:w w:val="99"/>
        <w:sz w:val="24"/>
        <w:szCs w:val="24"/>
        <w:lang w:val="en-US" w:eastAsia="en-US" w:bidi="en-US"/>
      </w:rPr>
    </w:lvl>
    <w:lvl w:ilvl="1" w:tplc="625494F4">
      <w:numFmt w:val="bullet"/>
      <w:lvlText w:val=""/>
      <w:lvlJc w:val="left"/>
      <w:pPr>
        <w:ind w:left="1271" w:hanging="452"/>
      </w:pPr>
      <w:rPr>
        <w:rFonts w:ascii="Symbol" w:eastAsia="Symbol" w:hAnsi="Symbol" w:cs="Symbol" w:hint="default"/>
        <w:w w:val="100"/>
        <w:sz w:val="24"/>
        <w:szCs w:val="24"/>
        <w:lang w:val="en-US" w:eastAsia="en-US" w:bidi="en-US"/>
      </w:rPr>
    </w:lvl>
    <w:lvl w:ilvl="2" w:tplc="F7B6C99C">
      <w:numFmt w:val="bullet"/>
      <w:lvlText w:val="•"/>
      <w:lvlJc w:val="left"/>
      <w:pPr>
        <w:ind w:left="2197" w:hanging="452"/>
      </w:pPr>
      <w:rPr>
        <w:rFonts w:hint="default"/>
        <w:lang w:val="en-US" w:eastAsia="en-US" w:bidi="en-US"/>
      </w:rPr>
    </w:lvl>
    <w:lvl w:ilvl="3" w:tplc="DFD0EB72">
      <w:numFmt w:val="bullet"/>
      <w:lvlText w:val="•"/>
      <w:lvlJc w:val="left"/>
      <w:pPr>
        <w:ind w:left="3115" w:hanging="452"/>
      </w:pPr>
      <w:rPr>
        <w:rFonts w:hint="default"/>
        <w:lang w:val="en-US" w:eastAsia="en-US" w:bidi="en-US"/>
      </w:rPr>
    </w:lvl>
    <w:lvl w:ilvl="4" w:tplc="14F8C870">
      <w:numFmt w:val="bullet"/>
      <w:lvlText w:val="•"/>
      <w:lvlJc w:val="left"/>
      <w:pPr>
        <w:ind w:left="4033" w:hanging="452"/>
      </w:pPr>
      <w:rPr>
        <w:rFonts w:hint="default"/>
        <w:lang w:val="en-US" w:eastAsia="en-US" w:bidi="en-US"/>
      </w:rPr>
    </w:lvl>
    <w:lvl w:ilvl="5" w:tplc="1116EEB6">
      <w:numFmt w:val="bullet"/>
      <w:lvlText w:val="•"/>
      <w:lvlJc w:val="left"/>
      <w:pPr>
        <w:ind w:left="4951" w:hanging="452"/>
      </w:pPr>
      <w:rPr>
        <w:rFonts w:hint="default"/>
        <w:lang w:val="en-US" w:eastAsia="en-US" w:bidi="en-US"/>
      </w:rPr>
    </w:lvl>
    <w:lvl w:ilvl="6" w:tplc="5EBA6CEC">
      <w:numFmt w:val="bullet"/>
      <w:lvlText w:val="•"/>
      <w:lvlJc w:val="left"/>
      <w:pPr>
        <w:ind w:left="5868" w:hanging="452"/>
      </w:pPr>
      <w:rPr>
        <w:rFonts w:hint="default"/>
        <w:lang w:val="en-US" w:eastAsia="en-US" w:bidi="en-US"/>
      </w:rPr>
    </w:lvl>
    <w:lvl w:ilvl="7" w:tplc="1EEED2C4">
      <w:numFmt w:val="bullet"/>
      <w:lvlText w:val="•"/>
      <w:lvlJc w:val="left"/>
      <w:pPr>
        <w:ind w:left="6786" w:hanging="452"/>
      </w:pPr>
      <w:rPr>
        <w:rFonts w:hint="default"/>
        <w:lang w:val="en-US" w:eastAsia="en-US" w:bidi="en-US"/>
      </w:rPr>
    </w:lvl>
    <w:lvl w:ilvl="8" w:tplc="2B000760">
      <w:numFmt w:val="bullet"/>
      <w:lvlText w:val="•"/>
      <w:lvlJc w:val="left"/>
      <w:pPr>
        <w:ind w:left="7704" w:hanging="452"/>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6318F2"/>
    <w:rsid w:val="00375857"/>
    <w:rsid w:val="006318F2"/>
    <w:rsid w:val="00A4163D"/>
    <w:rsid w:val="00BB7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A459959-DAA3-4663-BBEF-8250BE7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05" w:hanging="45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Waller</dc:creator>
  <cp:lastModifiedBy>Maples, Bonnie J</cp:lastModifiedBy>
  <cp:revision>2</cp:revision>
  <dcterms:created xsi:type="dcterms:W3CDTF">2018-05-02T14:20:00Z</dcterms:created>
  <dcterms:modified xsi:type="dcterms:W3CDTF">2018-05-02T14:20:00Z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2018-01-26T00:00:00Z</vt:filetime>
  </property>
  <property fmtid="{D5CDD505-2E9C-101B-9397-08002B2CF9AE}" pid="3" name="Creator">
    <vt:lpwstr>Microsoft® Word 2016</vt:lpwstr>
  </property>
  <property fmtid="{D5CDD505-2E9C-101B-9397-08002B2CF9AE}" pid="4" name="LastSaved">
    <vt:filetime>2018-05-02T00:00:00Z</vt:filetime>
  </property>
</Properties>
</file>